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关于浣纱路 347 号综合楼等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两处房产招租公告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杭州市浣纱路 347 号（内巷）综合楼、浣纱路 347 号（沿街）非住宅共两处房产七年租赁权通过杭州产权交易所有限责任公司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公开挂牌招租，相关事项公告如下：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8"/>
        </w:tabs>
        <w:kinsoku/>
        <w:wordWrap/>
        <w:overflowPunct/>
        <w:topLinePunct w:val="0"/>
        <w:bidi w:val="0"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一、标的情况：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1、位于杭州市浣纱路 347 号（内巷）综合楼、浣纱路 347 号（沿街），建筑面积为3548.60平方米，租赁期限为七年。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出租底价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388.57万元/年起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三、信息披露起止期及报名期：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2022-11-24至2022-12-07，16时前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四、联系咨询方式：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王先生 陈小姐 0571-85085582  0571-85085559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详情请登录杭州产权交易所网站www.hzaee.com查阅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03E9EF7-B58F-4B73-B7B9-52B0FBF9C35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54E4FBB-787A-437E-9FE8-E3286DFA87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A08C8D7-3C7B-4BBA-BDC0-FE2D8605AE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NjQyMjZmODkwZGY3ODUxYzI5YmYwOWJkZTkwNjEifQ=="/>
  </w:docVars>
  <w:rsids>
    <w:rsidRoot w:val="7CAF13D5"/>
    <w:rsid w:val="48B27D69"/>
    <w:rsid w:val="7CA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292</Characters>
  <Lines>0</Lines>
  <Paragraphs>0</Paragraphs>
  <TotalTime>2</TotalTime>
  <ScaleCrop>false</ScaleCrop>
  <LinksUpToDate>false</LinksUpToDate>
  <CharactersWithSpaces>307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2022-11-21T07:32:00Z</dcterms:created>
  <dc:creator>月饼他爸</dc:creator>
  <cp:lastModifiedBy>月饼他爸</cp:lastModifiedBy>
  <dcterms:modified xsi:type="dcterms:W3CDTF">2022-11-22T07:44:25Z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3BEA3099716345AEA712A71DA277DEB5</vt:lpwstr>
  </property>
</Properties>
</file>